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DFF5B6" w14:textId="5E60E3D6" w:rsidR="007573C0" w:rsidRPr="008C5046" w:rsidRDefault="008C5046" w:rsidP="00D40818">
      <w:pPr>
        <w:jc w:val="center"/>
        <w:rPr>
          <w:rFonts w:ascii="Arial" w:hAnsi="Arial" w:cs="Arial"/>
        </w:rPr>
      </w:pPr>
      <w:r w:rsidRPr="008C5046">
        <w:rPr>
          <w:rFonts w:ascii="Arial" w:hAnsi="Arial" w:cs="Arial"/>
        </w:rPr>
        <w:t>Vème République, crise globale, solutions locales ?</w:t>
      </w:r>
    </w:p>
    <w:p w14:paraId="27723819" w14:textId="154325EC" w:rsidR="008C5046" w:rsidRPr="008C5046" w:rsidRDefault="008C5046">
      <w:pPr>
        <w:rPr>
          <w:rFonts w:ascii="Arial" w:hAnsi="Arial" w:cs="Arial"/>
        </w:rPr>
      </w:pPr>
      <w:r w:rsidRPr="008C5046">
        <w:rPr>
          <w:rFonts w:ascii="Arial" w:hAnsi="Arial" w:cs="Arial"/>
        </w:rPr>
        <w:t>Table ronde : Les territoires comme solution à la crise institutionnelle ?</w:t>
      </w:r>
    </w:p>
    <w:p w14:paraId="00B1F9E9" w14:textId="68DED2FC" w:rsidR="008C5046" w:rsidRPr="008C5046" w:rsidRDefault="00D40818" w:rsidP="00D40818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Trois</w:t>
      </w:r>
      <w:r w:rsidR="008C5046" w:rsidRPr="008C5046">
        <w:rPr>
          <w:rFonts w:ascii="Arial" w:hAnsi="Arial" w:cs="Arial"/>
        </w:rPr>
        <w:t xml:space="preserve"> messages à vous délivrer issus de mon expérience gouvernementale.</w:t>
      </w:r>
    </w:p>
    <w:p w14:paraId="46E813AE" w14:textId="508610D1" w:rsidR="008C5046" w:rsidRDefault="008C5046">
      <w:pPr>
        <w:rPr>
          <w:rFonts w:ascii="Arial" w:hAnsi="Arial" w:cs="Arial"/>
        </w:rPr>
      </w:pPr>
      <w:r>
        <w:rPr>
          <w:rFonts w:ascii="Arial" w:hAnsi="Arial" w:cs="Arial"/>
        </w:rPr>
        <w:t>1 – Le pouvoir ne donne pas d’idées juste des moyens.</w:t>
      </w:r>
    </w:p>
    <w:p w14:paraId="2B2EC570" w14:textId="59AAD512" w:rsidR="008C5046" w:rsidRDefault="008C5046" w:rsidP="008C5046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Si vous arrivez au gouvernement sans projet bien étayé, ce qui est le cas de la plupart des ministres qui n’ont pas eu le temps de réfléchir à leurs intentions, vous devenez vite le porte-parole de votre administration.</w:t>
      </w:r>
    </w:p>
    <w:p w14:paraId="470AA44D" w14:textId="277E08B9" w:rsidR="008C5046" w:rsidRDefault="008C5046" w:rsidP="008C5046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Or, ces administrations peinent à admettre que les élus locaux soient parfaitement capables de servir l’intérêt général.</w:t>
      </w:r>
    </w:p>
    <w:p w14:paraId="025265DE" w14:textId="1B3386F7" w:rsidR="008C5046" w:rsidRDefault="008C5046" w:rsidP="008C5046">
      <w:pPr>
        <w:ind w:left="708"/>
        <w:jc w:val="both"/>
        <w:rPr>
          <w:rFonts w:ascii="Arial" w:hAnsi="Arial" w:cs="Arial"/>
        </w:rPr>
      </w:pPr>
      <w:r>
        <w:rPr>
          <w:rFonts w:ascii="Arial" w:hAnsi="Arial" w:cs="Arial"/>
        </w:rPr>
        <w:t>Elles les voient comme une conjuration de notables défenseurs de corporatismes locaux.</w:t>
      </w:r>
    </w:p>
    <w:p w14:paraId="3CAD940E" w14:textId="3A9D28DF" w:rsidR="008C5046" w:rsidRDefault="008C5046" w:rsidP="008C5046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C’est dire s’il est difficile de promouvoir toute politique véritablement décentralisatrice.</w:t>
      </w:r>
    </w:p>
    <w:p w14:paraId="52E364E6" w14:textId="5EFDE35E" w:rsidR="00D40818" w:rsidRDefault="00D40818" w:rsidP="00D40818">
      <w:pPr>
        <w:ind w:left="708"/>
        <w:jc w:val="both"/>
        <w:rPr>
          <w:rFonts w:ascii="Arial" w:hAnsi="Arial" w:cs="Arial"/>
        </w:rPr>
      </w:pPr>
      <w:r>
        <w:rPr>
          <w:rFonts w:ascii="Arial" w:hAnsi="Arial" w:cs="Arial"/>
        </w:rPr>
        <w:t>Je suis convaincu que les textes de 1982 ne pourraient aujourd’hui pas être conçus.</w:t>
      </w:r>
    </w:p>
    <w:p w14:paraId="1AE79E9C" w14:textId="4D087D77" w:rsidR="00D40818" w:rsidRDefault="00D40818" w:rsidP="00D40818">
      <w:pPr>
        <w:ind w:left="708"/>
        <w:jc w:val="both"/>
        <w:rPr>
          <w:rFonts w:ascii="Arial" w:hAnsi="Arial" w:cs="Arial"/>
        </w:rPr>
      </w:pPr>
      <w:r>
        <w:rPr>
          <w:rFonts w:ascii="Arial" w:hAnsi="Arial" w:cs="Arial"/>
        </w:rPr>
        <w:t>Les résistances de l’administration seraient nettement plus fortes.</w:t>
      </w:r>
    </w:p>
    <w:p w14:paraId="098107D5" w14:textId="559A2D27" w:rsidR="00D40818" w:rsidRDefault="00D40818" w:rsidP="008C5046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Et s’il est indispensable de bâtir des projets précis.</w:t>
      </w:r>
    </w:p>
    <w:p w14:paraId="056E10A7" w14:textId="3CBB9BF9" w:rsidR="008C5046" w:rsidRDefault="008C5046">
      <w:pPr>
        <w:rPr>
          <w:rFonts w:ascii="Arial" w:hAnsi="Arial" w:cs="Arial"/>
        </w:rPr>
      </w:pPr>
      <w:r>
        <w:rPr>
          <w:rFonts w:ascii="Arial" w:hAnsi="Arial" w:cs="Arial"/>
        </w:rPr>
        <w:t>2</w:t>
      </w:r>
      <w:r w:rsidRPr="008C5046">
        <w:rPr>
          <w:rFonts w:ascii="Arial" w:hAnsi="Arial" w:cs="Arial"/>
        </w:rPr>
        <w:t xml:space="preserve"> – L’Etat n’est déconcentré que dans les mots.</w:t>
      </w:r>
    </w:p>
    <w:p w14:paraId="1548AA77" w14:textId="522BB1BB" w:rsidR="008C5046" w:rsidRDefault="008C5046" w:rsidP="008C5046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Il ne cesse de règlementer avec d’autant plus de jubilation qu’il n’a pas à en supporter les conséquences financières.</w:t>
      </w:r>
    </w:p>
    <w:p w14:paraId="5E802074" w14:textId="723DFDBF" w:rsidR="008C5046" w:rsidRDefault="008C5046" w:rsidP="008C5046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Il s’obstine à décréter des actions dans des domaines ou sa plus-value ne saute pas aux yeux.</w:t>
      </w:r>
    </w:p>
    <w:p w14:paraId="5F9B6325" w14:textId="77777777" w:rsidR="008C5046" w:rsidRDefault="008C5046" w:rsidP="008C5046">
      <w:pPr>
        <w:ind w:left="708"/>
        <w:jc w:val="both"/>
        <w:rPr>
          <w:rFonts w:ascii="Arial" w:hAnsi="Arial" w:cs="Arial"/>
        </w:rPr>
      </w:pPr>
      <w:r>
        <w:rPr>
          <w:rFonts w:ascii="Arial" w:hAnsi="Arial" w:cs="Arial"/>
        </w:rPr>
        <w:t>J’ai le souvenir des « </w:t>
      </w:r>
      <w:r w:rsidRPr="00D40818">
        <w:rPr>
          <w:rFonts w:ascii="Arial" w:hAnsi="Arial" w:cs="Arial"/>
          <w:i/>
          <w:iCs/>
        </w:rPr>
        <w:t>pactes des solidarités</w:t>
      </w:r>
      <w:r>
        <w:rPr>
          <w:rFonts w:ascii="Arial" w:hAnsi="Arial" w:cs="Arial"/>
        </w:rPr>
        <w:t xml:space="preserve"> » initiés en 2023 par Aurore Bergé, alors </w:t>
      </w:r>
      <w:r w:rsidRPr="008C5046">
        <w:rPr>
          <w:rFonts w:ascii="Arial" w:hAnsi="Arial" w:cs="Arial"/>
        </w:rPr>
        <w:t>Ministre des Solidarités et des Familles</w:t>
      </w:r>
      <w:r>
        <w:rPr>
          <w:rFonts w:ascii="Arial" w:hAnsi="Arial" w:cs="Arial"/>
        </w:rPr>
        <w:t>.</w:t>
      </w:r>
    </w:p>
    <w:p w14:paraId="495DC1BE" w14:textId="77777777" w:rsidR="008C5046" w:rsidRDefault="008C5046" w:rsidP="008C5046">
      <w:pPr>
        <w:ind w:left="708"/>
        <w:jc w:val="both"/>
        <w:rPr>
          <w:rFonts w:ascii="Arial" w:hAnsi="Arial" w:cs="Arial"/>
        </w:rPr>
      </w:pPr>
      <w:r>
        <w:rPr>
          <w:rFonts w:ascii="Arial" w:hAnsi="Arial" w:cs="Arial"/>
        </w:rPr>
        <w:t>Alors que les compétences concernées par la lutte contre la pauvreté, objet affiché du projet, relèvent pour l’essentiel des départements.</w:t>
      </w:r>
    </w:p>
    <w:p w14:paraId="766C6D26" w14:textId="2CDE7735" w:rsidR="008C5046" w:rsidRDefault="008C5046" w:rsidP="008C5046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Tout chantier de décentralisation doit donc débuter par une refonte de l’organisation de l’Etat.</w:t>
      </w:r>
    </w:p>
    <w:p w14:paraId="2A479FB7" w14:textId="6DAD205F" w:rsidR="00D40818" w:rsidRDefault="00D40818" w:rsidP="00D40818">
      <w:pPr>
        <w:ind w:left="708"/>
        <w:jc w:val="both"/>
        <w:rPr>
          <w:rFonts w:ascii="Arial" w:hAnsi="Arial" w:cs="Arial"/>
        </w:rPr>
      </w:pPr>
      <w:r>
        <w:rPr>
          <w:rFonts w:ascii="Arial" w:hAnsi="Arial" w:cs="Arial"/>
        </w:rPr>
        <w:t>Et par exemple en confiant aux préfets une pleine autorité sur l’administration territoriale de l’Etat.</w:t>
      </w:r>
    </w:p>
    <w:p w14:paraId="750E2CC1" w14:textId="3F6A6B15" w:rsidR="00905F14" w:rsidRDefault="00905F14" w:rsidP="00905F14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Cela lui permettrait d’en finir avec des politiques brouillonnes aux résultats médiocres.</w:t>
      </w:r>
    </w:p>
    <w:p w14:paraId="0CA3B290" w14:textId="77777777" w:rsidR="00905F14" w:rsidRDefault="00D40818" w:rsidP="00D40818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3 </w:t>
      </w:r>
      <w:r w:rsidR="00905F14">
        <w:rPr>
          <w:rFonts w:ascii="Arial" w:hAnsi="Arial" w:cs="Arial"/>
        </w:rPr>
        <w:t>–</w:t>
      </w:r>
      <w:r>
        <w:rPr>
          <w:rFonts w:ascii="Arial" w:hAnsi="Arial" w:cs="Arial"/>
        </w:rPr>
        <w:t xml:space="preserve"> </w:t>
      </w:r>
      <w:r w:rsidR="00905F14">
        <w:rPr>
          <w:rFonts w:ascii="Arial" w:hAnsi="Arial" w:cs="Arial"/>
        </w:rPr>
        <w:t>Ouvrir la possibilité d’un statut particulier pour les régions qui le souhaitent</w:t>
      </w:r>
    </w:p>
    <w:p w14:paraId="26C60C9D" w14:textId="77777777" w:rsidR="00905F14" w:rsidRDefault="00905F14" w:rsidP="00D40818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Cela passe par une révision constitutionnelle, déjà souhaitée par les Outre-mer et évoquée pour la Corse par le gouvernement.</w:t>
      </w:r>
    </w:p>
    <w:p w14:paraId="3156FDBE" w14:textId="2A795917" w:rsidR="00B032CE" w:rsidRDefault="00B032CE" w:rsidP="00B032CE">
      <w:pPr>
        <w:ind w:left="708"/>
        <w:jc w:val="both"/>
        <w:rPr>
          <w:rFonts w:ascii="Arial" w:hAnsi="Arial" w:cs="Arial"/>
        </w:rPr>
      </w:pPr>
      <w:r>
        <w:rPr>
          <w:rFonts w:ascii="Arial" w:hAnsi="Arial" w:cs="Arial"/>
        </w:rPr>
        <w:t>Le droit des OM est devenu illisible.</w:t>
      </w:r>
    </w:p>
    <w:p w14:paraId="2F9D6B5C" w14:textId="316D3AF4" w:rsidR="00B032CE" w:rsidRDefault="00B032CE" w:rsidP="00B032CE">
      <w:pPr>
        <w:ind w:left="708"/>
        <w:jc w:val="both"/>
        <w:rPr>
          <w:rFonts w:ascii="Arial" w:hAnsi="Arial" w:cs="Arial"/>
        </w:rPr>
      </w:pPr>
      <w:r>
        <w:rPr>
          <w:rFonts w:ascii="Arial" w:hAnsi="Arial" w:cs="Arial"/>
        </w:rPr>
        <w:t>Certaines collectivités de l’art. 73 (Martinique) ont plus de marge de manœuvre que d’autres qui relèvent de l’art. 74 (Saint-Pierre et M).</w:t>
      </w:r>
    </w:p>
    <w:p w14:paraId="0B746013" w14:textId="68BC45F0" w:rsidR="00B032CE" w:rsidRDefault="00B032CE" w:rsidP="00B032CE">
      <w:pPr>
        <w:ind w:left="708"/>
        <w:jc w:val="both"/>
        <w:rPr>
          <w:rFonts w:ascii="Arial" w:hAnsi="Arial" w:cs="Arial"/>
        </w:rPr>
      </w:pPr>
      <w:r>
        <w:rPr>
          <w:rFonts w:ascii="Arial" w:hAnsi="Arial" w:cs="Arial"/>
        </w:rPr>
        <w:t>Pourtant l’art. 73 est celui de l’assimilation législative et l’art. 74 celui de la spécialisation législative.</w:t>
      </w:r>
    </w:p>
    <w:p w14:paraId="3B8A001D" w14:textId="0CA60004" w:rsidR="00905F14" w:rsidRDefault="00905F14" w:rsidP="00D40818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Une opportunité pour réécrire l’article 73 de la Constitution en ouvrant la possibilité d’un statut à la carte pour les collectivités volontaires</w:t>
      </w:r>
      <w:r w:rsidR="00AC7C89">
        <w:rPr>
          <w:rFonts w:ascii="Arial" w:hAnsi="Arial" w:cs="Arial"/>
        </w:rPr>
        <w:t xml:space="preserve"> pour tenir compte leurs caractéristiques et contraintes particulières.</w:t>
      </w:r>
    </w:p>
    <w:p w14:paraId="4A4A03D5" w14:textId="4122410D" w:rsidR="00D40818" w:rsidRDefault="00905F14" w:rsidP="00D40818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L’article confierait à une loi organique les </w:t>
      </w:r>
      <w:r w:rsidR="00AC7C89">
        <w:rPr>
          <w:rFonts w:ascii="Arial" w:hAnsi="Arial" w:cs="Arial"/>
        </w:rPr>
        <w:t>modalités de transfert des compétences, les règles d’organisation et de fonctionnement des institutions de la collectivité et le cadre juridictionnel du contrôle exercé par le Conseil d’Etat.</w:t>
      </w:r>
    </w:p>
    <w:p w14:paraId="0BEF2A8B" w14:textId="653A37F7" w:rsidR="00AC7C89" w:rsidRDefault="00AC7C89" w:rsidP="00D40818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Rien de révolutionnaire, juste un élargissement de pratiques déjà autorisées pour la Polynésie.</w:t>
      </w:r>
    </w:p>
    <w:p w14:paraId="62EDB8BC" w14:textId="5D73CBEA" w:rsidR="00AC7C89" w:rsidRDefault="00AC7C89" w:rsidP="00D40818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La révision de 2003 a amplement démontré que même si le Constituant souhaite que la France reste un état unitaire, l’indivisibilité de la République </w:t>
      </w:r>
      <w:proofErr w:type="gramStart"/>
      <w:r>
        <w:rPr>
          <w:rFonts w:ascii="Arial" w:hAnsi="Arial" w:cs="Arial"/>
        </w:rPr>
        <w:t>n’est</w:t>
      </w:r>
      <w:proofErr w:type="gramEnd"/>
      <w:r>
        <w:rPr>
          <w:rFonts w:ascii="Arial" w:hAnsi="Arial" w:cs="Arial"/>
        </w:rPr>
        <w:t xml:space="preserve"> pas incompatible avec les différences territoriales.</w:t>
      </w:r>
    </w:p>
    <w:p w14:paraId="1FAADCCD" w14:textId="77777777" w:rsidR="008C5046" w:rsidRDefault="008C5046" w:rsidP="008C5046">
      <w:pPr>
        <w:jc w:val="both"/>
        <w:rPr>
          <w:rFonts w:ascii="Arial" w:hAnsi="Arial" w:cs="Arial"/>
        </w:rPr>
      </w:pPr>
    </w:p>
    <w:p w14:paraId="13FE1404" w14:textId="77777777" w:rsidR="008C5046" w:rsidRPr="008C5046" w:rsidRDefault="008C5046">
      <w:pPr>
        <w:rPr>
          <w:rFonts w:ascii="Arial" w:hAnsi="Arial" w:cs="Arial"/>
        </w:rPr>
      </w:pPr>
    </w:p>
    <w:p w14:paraId="088BC180" w14:textId="77777777" w:rsidR="008C5046" w:rsidRDefault="008C5046"/>
    <w:sectPr w:rsidR="008C5046" w:rsidSect="008C5046">
      <w:pgSz w:w="16838" w:h="11906" w:orient="landscape"/>
      <w:pgMar w:top="720" w:right="720" w:bottom="720" w:left="720" w:header="708" w:footer="708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503F"/>
    <w:rsid w:val="002A199A"/>
    <w:rsid w:val="007573C0"/>
    <w:rsid w:val="008C5046"/>
    <w:rsid w:val="00905F14"/>
    <w:rsid w:val="00AC7C89"/>
    <w:rsid w:val="00B032CE"/>
    <w:rsid w:val="00BB1962"/>
    <w:rsid w:val="00D40818"/>
    <w:rsid w:val="00DF1489"/>
    <w:rsid w:val="00F038F6"/>
    <w:rsid w:val="00F17E69"/>
    <w:rsid w:val="00FC50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55477C"/>
  <w15:chartTrackingRefBased/>
  <w15:docId w15:val="{0124D844-476C-465D-B256-2043392178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FC503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FC503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FC503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FC503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FC503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FC503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FC503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FC503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FC503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FC503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FC503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FC503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FC503F"/>
    <w:rPr>
      <w:rFonts w:eastAsiaTheme="majorEastAsia" w:cstheme="majorBidi"/>
      <w:i/>
      <w:iCs/>
      <w:color w:val="2F5496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FC503F"/>
    <w:rPr>
      <w:rFonts w:eastAsiaTheme="majorEastAsia" w:cstheme="majorBidi"/>
      <w:color w:val="2F5496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FC503F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FC503F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FC503F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FC503F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FC503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FC503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FC503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FC503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FC503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FC503F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FC503F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FC503F"/>
    <w:rPr>
      <w:i/>
      <w:iCs/>
      <w:color w:val="2F5496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FC503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FC503F"/>
    <w:rPr>
      <w:i/>
      <w:iCs/>
      <w:color w:val="2F5496" w:themeColor="accent1" w:themeShade="BF"/>
    </w:rPr>
  </w:style>
  <w:style w:type="character" w:styleId="Rfrenceintense">
    <w:name w:val="Intense Reference"/>
    <w:basedOn w:val="Policepardfaut"/>
    <w:uiPriority w:val="32"/>
    <w:qFormat/>
    <w:rsid w:val="00FC503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471</Words>
  <Characters>2593</Characters>
  <Application>Microsoft Office Word</Application>
  <DocSecurity>0</DocSecurity>
  <Lines>21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Jean-Jacques Urvoas</dc:creator>
  <cp:keywords/>
  <dc:description/>
  <cp:lastModifiedBy>Pèire Costa</cp:lastModifiedBy>
  <cp:revision>2</cp:revision>
  <dcterms:created xsi:type="dcterms:W3CDTF">2025-03-05T11:05:00Z</dcterms:created>
  <dcterms:modified xsi:type="dcterms:W3CDTF">2025-03-05T11:05:00Z</dcterms:modified>
</cp:coreProperties>
</file>